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left"/>
        <w:rPr/>
      </w:pPr>
      <w:r>
        <w:rPr/>
        <w:drawing>
          <wp:inline distT="0" distB="0" distL="0" distR="0">
            <wp:extent cx="6096000" cy="86201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2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spacing w:before="0" w:after="283"/>
        <w:ind w:hanging="0" w:left="0" w:right="0"/>
        <w:jc w:val="left"/>
        <w:rPr>
          <w:color w:val="555555"/>
          <w:sz w:val="20"/>
        </w:rPr>
      </w:pPr>
      <w:r>
        <w:rPr>
          <w:color w:val="555555"/>
          <w:sz w:val="20"/>
        </w:rPr>
        <w:t>Genogram worksheet from genogrampro.com/genogram-template. Full symbol reference at genogrampro.com/guide/genogram-key.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" w:hAnsi="Arial" w:eastAsia="Arial" w:cs="Arial"/>
      <w:color w:val="000000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LibreOffice/25.8.5.2$Windows_X86_64 LibreOffice_project/9c8b85f387cc00a89945a79c9e6239f32e450ac2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